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方正大标宋简体" w:eastAsia="方正大标宋简体"/>
          <w:color w:val="FF0000"/>
          <w:w w:val="47"/>
          <w:sz w:val="130"/>
        </w:rPr>
      </w:pPr>
      <w:r>
        <w:rPr>
          <w:rFonts w:hint="eastAsia" w:ascii="方正大标宋简体" w:eastAsia="方正大标宋简体"/>
          <w:color w:val="FF0000"/>
          <w:spacing w:val="5"/>
          <w:w w:val="64"/>
          <w:kern w:val="0"/>
          <w:sz w:val="130"/>
          <w:fitText w:val="5849" w:id="0"/>
        </w:rPr>
        <w:t>中 国 法 学 会</w:t>
      </w:r>
    </w:p>
    <w:p>
      <w:pPr>
        <w:spacing w:before="156" w:beforeLines="50" w:line="440" w:lineRule="exact"/>
        <w:jc w:val="center"/>
        <w:rPr>
          <w:rFonts w:eastAsia="仿宋_GB2312"/>
          <w:position w:val="8"/>
          <w:sz w:val="30"/>
          <w:szCs w:val="30"/>
        </w:rPr>
      </w:pPr>
      <w:r>
        <w:rPr>
          <w:rFonts w:eastAsia="仿宋_GB2312"/>
          <w:position w:val="8"/>
          <w:sz w:val="30"/>
          <w:szCs w:val="30"/>
        </w:rPr>
        <w:t>中法培函</w:t>
      </w:r>
      <w:r>
        <w:rPr>
          <w:rFonts w:hint="eastAsia" w:ascii="仿宋_GB2312" w:eastAsia="仿宋_GB2312"/>
          <w:position w:val="8"/>
          <w:sz w:val="30"/>
          <w:szCs w:val="30"/>
        </w:rPr>
        <w:t>〔</w:t>
      </w:r>
      <w:r>
        <w:rPr>
          <w:rFonts w:ascii="Times New Roman" w:hAnsi="Times New Roman" w:eastAsia="仿宋_GB2312" w:cs="Times New Roman"/>
          <w:position w:val="8"/>
          <w:sz w:val="30"/>
          <w:szCs w:val="30"/>
        </w:rPr>
        <w:t>2016</w:t>
      </w:r>
      <w:r>
        <w:rPr>
          <w:rFonts w:hint="eastAsia" w:ascii="仿宋_GB2312" w:eastAsia="仿宋_GB2312"/>
          <w:position w:val="8"/>
          <w:sz w:val="30"/>
          <w:szCs w:val="30"/>
        </w:rPr>
        <w:t>〕</w:t>
      </w:r>
      <w:r>
        <w:rPr>
          <w:rFonts w:hint="eastAsia" w:ascii="Times New Roman" w:hAnsi="Times New Roman" w:eastAsia="仿宋_GB2312" w:cs="Times New Roman"/>
          <w:position w:val="8"/>
          <w:sz w:val="30"/>
          <w:szCs w:val="30"/>
        </w:rPr>
        <w:t>134</w:t>
      </w:r>
      <w:r>
        <w:rPr>
          <w:rFonts w:eastAsia="仿宋_GB2312"/>
          <w:position w:val="8"/>
          <w:sz w:val="30"/>
          <w:szCs w:val="30"/>
        </w:rPr>
        <w:t>号</w:t>
      </w:r>
    </w:p>
    <w:p>
      <w:pPr>
        <w:spacing w:line="500" w:lineRule="exact"/>
        <w:jc w:val="center"/>
        <w:rPr>
          <w:rFonts w:eastAsia="仿宋_GB2312"/>
          <w:color w:val="FF0000"/>
          <w:position w:val="4"/>
          <w:sz w:val="44"/>
        </w:rPr>
      </w:pPr>
      <w:r>
        <w:rPr>
          <w:rFonts w:eastAsia="仿宋_GB2312"/>
          <w:color w:val="FF0000"/>
          <w:position w:val="4"/>
          <w:sz w:val="44"/>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110490</wp:posOffset>
                </wp:positionV>
                <wp:extent cx="2520315" cy="0"/>
                <wp:effectExtent l="17145" t="14605" r="15240" b="2349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28575">
                          <a:solidFill>
                            <a:srgbClr val="FF0000"/>
                          </a:solidFill>
                          <a:round/>
                        </a:ln>
                      </wps:spPr>
                      <wps:bodyPr/>
                    </wps:wsp>
                  </a:graphicData>
                </a:graphic>
              </wp:anchor>
            </w:drawing>
          </mc:Choice>
          <mc:Fallback>
            <w:pict>
              <v:line id="Line 4" o:spid="_x0000_s1026" o:spt="20" style="position:absolute;left:0pt;margin-left:230.25pt;margin-top:8.7pt;height:0pt;width:198.45pt;z-index:251660288;mso-width-relative:page;mso-height-relative:page;" filled="f" stroked="t" coordsize="21600,21600" o:gfxdata="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p8Uw&#10;1gAAAAkBAAAPAAAAAAAAAAEAIAAAACIAAABkcnMvZG93bnJldi54bWxQSwECFAAUAAAACACHTuJA&#10;no0o1rEBAABSAwAADgAAAAAAAAABACAAAAAlAQAAZHJzL2Uyb0RvYy54bWxQSwUGAAAAAAYABgBZ&#10;AQAASAUAAAAA&#10;">
                <v:fill on="f" focussize="0,0"/>
                <v:stroke weight="2.25pt" color="#FF0000" joinstyle="round"/>
                <v:imagedata o:title=""/>
                <o:lock v:ext="edit" aspectratio="f"/>
              </v:line>
            </w:pict>
          </mc:Fallback>
        </mc:AlternateContent>
      </w:r>
      <w:r>
        <w:rPr>
          <w:rFonts w:eastAsia="仿宋_GB2312"/>
          <w:color w:val="FF0000"/>
          <w:position w:val="4"/>
          <w:sz w:val="44"/>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110490</wp:posOffset>
                </wp:positionV>
                <wp:extent cx="2520315" cy="0"/>
                <wp:effectExtent l="17145" t="14605" r="15240" b="2349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28575">
                          <a:solidFill>
                            <a:srgbClr val="FF0000"/>
                          </a:solidFill>
                          <a:round/>
                        </a:ln>
                      </wps:spPr>
                      <wps:bodyPr/>
                    </wps:wsp>
                  </a:graphicData>
                </a:graphic>
              </wp:anchor>
            </w:drawing>
          </mc:Choice>
          <mc:Fallback>
            <w:pict>
              <v:line id="Line 5" o:spid="_x0000_s1026" o:spt="20" style="position:absolute;left:0pt;margin-left:-14.25pt;margin-top:8.7pt;height:0pt;width:198.45pt;z-index:251661312;mso-width-relative:page;mso-height-relative:page;" filled="f" stroked="t" coordsize="21600,21600" o:gfxdata="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Htt&#10;1wAAAAkBAAAPAAAAAAAAAAEAIAAAACIAAABkcnMvZG93bnJldi54bWxQSwECFAAUAAAACACHTuJA&#10;D8ynC7ABAABSAwAADgAAAAAAAAABACAAAAAmAQAAZHJzL2Uyb0RvYy54bWxQSwUGAAAAAAYABgBZ&#10;AQAASAUAAAAA&#10;">
                <v:fill on="f" focussize="0,0"/>
                <v:stroke weight="2.25pt" color="#FF0000" joinstyle="round"/>
                <v:imagedata o:title=""/>
                <o:lock v:ext="edit" aspectratio="f"/>
              </v:line>
            </w:pict>
          </mc:Fallback>
        </mc:AlternateContent>
      </w:r>
      <w:r>
        <w:rPr>
          <w:rFonts w:hint="eastAsia" w:ascii="宋体" w:hAnsi="宋体" w:cs="宋体"/>
          <w:color w:val="FF0000"/>
          <w:position w:val="4"/>
          <w:sz w:val="44"/>
        </w:rPr>
        <w:t>★</w:t>
      </w:r>
    </w:p>
    <w:p>
      <w:pPr>
        <w:spacing w:before="156" w:beforeLines="50"/>
        <w:jc w:val="center"/>
        <w:rPr>
          <w:rFonts w:ascii="方正大标宋简体" w:eastAsia="方正大标宋简体" w:cs="黑体"/>
          <w:kern w:val="0"/>
          <w:sz w:val="36"/>
          <w:szCs w:val="36"/>
        </w:rPr>
      </w:pPr>
      <w:r>
        <w:rPr>
          <w:rFonts w:hint="eastAsia" w:ascii="方正大标宋简体" w:eastAsia="方正大标宋简体" w:cs="黑体"/>
          <w:kern w:val="0"/>
          <w:sz w:val="36"/>
          <w:szCs w:val="36"/>
        </w:rPr>
        <w:t>关于举办高校法学专业应用型人才培养</w:t>
      </w:r>
    </w:p>
    <w:p>
      <w:pPr>
        <w:spacing w:after="156" w:afterLines="50"/>
        <w:jc w:val="center"/>
        <w:rPr>
          <w:rFonts w:ascii="方正大标宋简体" w:eastAsia="方正大标宋简体" w:cs="黑体"/>
          <w:kern w:val="0"/>
          <w:sz w:val="36"/>
          <w:szCs w:val="36"/>
        </w:rPr>
      </w:pPr>
      <w:r>
        <w:rPr>
          <w:rFonts w:hint="eastAsia" w:ascii="方正大标宋简体" w:eastAsia="方正大标宋简体" w:cs="黑体"/>
          <w:kern w:val="0"/>
          <w:sz w:val="36"/>
          <w:szCs w:val="36"/>
        </w:rPr>
        <w:t>暨实践教学改革研讨会的函</w:t>
      </w:r>
    </w:p>
    <w:p>
      <w:pPr>
        <w:spacing w:line="4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各有关单位：</w:t>
      </w:r>
    </w:p>
    <w:p>
      <w:pPr>
        <w:adjustRightInd w:val="0"/>
        <w:spacing w:line="4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提高法律人才培养质量是我国高等法学教育改革发展最核心最紧迫的任务。随着依法治国基本方略全面落实的进程，卓越法律人才的社会需要不断增大。实践教学作为落实卓越法律人才教育培养计划的重要环节,不仅对实现法学教育和法律职业的对接具有重要意义,也在培养应用型和复合型法律职业人才具有积极作用。为有助于总结交流法学教育经验，创新法治人才培养机制，推进法学教育模式改革，探索培养高端优秀法律人才的教学改革路径，提高法律人才培养质量，</w:t>
      </w:r>
      <w:r>
        <w:rPr>
          <w:rFonts w:hint="eastAsia" w:ascii="仿宋_GB2312" w:hAnsi="仿宋_GB2312" w:eastAsia="仿宋_GB2312" w:cs="仿宋_GB2312"/>
          <w:b/>
          <w:color w:val="000000"/>
          <w:sz w:val="28"/>
          <w:szCs w:val="28"/>
        </w:rPr>
        <w:t>中国法学会培训中心</w:t>
      </w:r>
      <w:r>
        <w:rPr>
          <w:rFonts w:hint="eastAsia" w:ascii="仿宋_GB2312" w:hAnsi="仿宋_GB2312" w:eastAsia="仿宋_GB2312" w:cs="仿宋_GB2312"/>
          <w:color w:val="000000"/>
          <w:sz w:val="28"/>
          <w:szCs w:val="28"/>
        </w:rPr>
        <w:t>特举办</w:t>
      </w:r>
      <w:r>
        <w:rPr>
          <w:rFonts w:hint="eastAsia" w:ascii="仿宋_GB2312" w:hAnsi="仿宋_GB2312" w:eastAsia="仿宋_GB2312" w:cs="仿宋_GB2312"/>
          <w:b/>
          <w:color w:val="000000"/>
          <w:sz w:val="28"/>
          <w:szCs w:val="28"/>
        </w:rPr>
        <w:t>高校法学专业应用型人才培养暨实践教学改革研讨会</w:t>
      </w:r>
      <w:r>
        <w:rPr>
          <w:rFonts w:hint="eastAsia" w:ascii="仿宋_GB2312" w:hAnsi="仿宋_GB2312" w:eastAsia="仿宋_GB2312" w:cs="仿宋_GB2312"/>
          <w:color w:val="000000"/>
          <w:sz w:val="28"/>
          <w:szCs w:val="28"/>
        </w:rPr>
        <w:t>。现将有关事项函知如下：</w:t>
      </w:r>
    </w:p>
    <w:p>
      <w:pPr>
        <w:widowControl/>
        <w:spacing w:line="48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一、主要内容</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1．卓越法律人才教育培养与法学实践教学改革</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2．人才培养模式改革与课程规划</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3．应用型法学创新人才培养与课程建设</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4．法学人才职业能力培养问题与对策</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5．法律职业能力培养的教学方法创新</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6．法科学生的核心能力及其培养</w:t>
      </w:r>
    </w:p>
    <w:p>
      <w:pPr>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7．模拟法庭教学与竞赛实践</w:t>
      </w:r>
    </w:p>
    <w:p>
      <w:pPr>
        <w:adjustRightInd w:val="0"/>
        <w:spacing w:line="480" w:lineRule="exact"/>
        <w:ind w:firstLine="562" w:firstLineChars="20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二、参加对象</w:t>
      </w:r>
    </w:p>
    <w:p>
      <w:pPr>
        <w:spacing w:line="480" w:lineRule="exact"/>
        <w:ind w:firstLine="554" w:firstLineChars="198"/>
        <w:rPr>
          <w:rFonts w:ascii="Times New Roman" w:hAnsi="Times New Roman" w:eastAsia="仿宋_GB2312" w:cs="Times New Roman"/>
          <w:sz w:val="28"/>
          <w:szCs w:val="28"/>
        </w:rPr>
      </w:pPr>
      <w:r>
        <w:rPr>
          <w:rFonts w:ascii="Times New Roman" w:hAnsi="Times New Roman" w:eastAsia="仿宋_GB2312" w:cs="Times New Roman"/>
          <w:sz w:val="28"/>
          <w:szCs w:val="28"/>
        </w:rPr>
        <w:t>各高校法学院（系）的负责人和骨干教师，法学研究机构的研究人员；各地教育行政部门、立法、司法机关中从事法学教育研究工作的有关人员。</w:t>
      </w:r>
    </w:p>
    <w:p>
      <w:pPr>
        <w:spacing w:line="48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sz w:val="28"/>
          <w:szCs w:val="28"/>
        </w:rPr>
        <w:t>三、时间及地点</w:t>
      </w:r>
      <w:r>
        <w:rPr>
          <w:rFonts w:ascii="Times New Roman" w:hAnsi="Times New Roman" w:eastAsia="仿宋_GB2312" w:cs="Times New Roman"/>
          <w:color w:val="000000"/>
          <w:sz w:val="28"/>
          <w:szCs w:val="28"/>
        </w:rPr>
        <w:t>（共一期）</w:t>
      </w:r>
    </w:p>
    <w:p>
      <w:pPr>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2016年11月26日－30日 杭州（报到日期：11月25日星期五）</w:t>
      </w:r>
    </w:p>
    <w:p>
      <w:pPr>
        <w:spacing w:line="480" w:lineRule="exact"/>
        <w:ind w:firstLine="562" w:firstLineChars="20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四、相关费用</w:t>
      </w:r>
    </w:p>
    <w:p>
      <w:pPr>
        <w:spacing w:line="480" w:lineRule="exact"/>
        <w:ind w:firstLine="536" w:firstLineChars="200"/>
        <w:rPr>
          <w:rFonts w:ascii="Times New Roman" w:hAnsi="Times New Roman" w:eastAsia="仿宋_GB2312" w:cs="Times New Roman"/>
          <w:spacing w:val="-6"/>
          <w:sz w:val="28"/>
          <w:szCs w:val="28"/>
        </w:rPr>
      </w:pPr>
      <w:r>
        <w:rPr>
          <w:rFonts w:ascii="Times New Roman" w:hAnsi="Times New Roman" w:eastAsia="仿宋_GB2312" w:cs="Times New Roman"/>
          <w:spacing w:val="-6"/>
          <w:sz w:val="28"/>
          <w:szCs w:val="28"/>
        </w:rPr>
        <w:t>研讨费：1500元。食宿统一安排，费用自理。</w:t>
      </w:r>
    </w:p>
    <w:p>
      <w:pPr>
        <w:adjustRightInd w:val="0"/>
        <w:spacing w:line="480" w:lineRule="exact"/>
        <w:ind w:firstLine="562" w:firstLineChars="20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五、报名办法</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1．欢迎各单位积极组织有关人员参加，并在报名截止日期前将填写好的报名表传真至会务组。会务组将根据报名表提前寄发报到通知，告知具体地点、乘车路线、食宿及日程安排等具体参会事项。</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2．会务组联系方式：</w:t>
      </w:r>
    </w:p>
    <w:p>
      <w:pPr>
        <w:adjustRightIn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电　话：010－62997166，62997266</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传　真：010－62997266</w:t>
      </w:r>
    </w:p>
    <w:p>
      <w:pPr>
        <w:adjustRightInd w:val="0"/>
        <w:spacing w:line="48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邮　箱： zgfxh999@vip.163.com</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联系人：白晓燕，解艳红</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3．培训中心联系方式：</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电　话：010－66188780　　　　　　联系人：王晓舟</w:t>
      </w:r>
    </w:p>
    <w:p>
      <w:pPr>
        <w:adjustRightInd w:val="0"/>
        <w:spacing w:line="480" w:lineRule="exact"/>
        <w:ind w:firstLine="562" w:firstLineChars="20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六、特别声明</w:t>
      </w:r>
    </w:p>
    <w:p>
      <w:pPr>
        <w:adjustRightInd w:val="0"/>
        <w:spacing w:line="48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drawing>
          <wp:anchor distT="0" distB="0" distL="114300" distR="114300" simplePos="0" relativeHeight="251662336" behindDoc="1" locked="0" layoutInCell="1" allowOverlap="1">
            <wp:simplePos x="0" y="0"/>
            <wp:positionH relativeFrom="column">
              <wp:posOffset>3228975</wp:posOffset>
            </wp:positionH>
            <wp:positionV relativeFrom="paragraph">
              <wp:posOffset>1764665</wp:posOffset>
            </wp:positionV>
            <wp:extent cx="1933575" cy="1885950"/>
            <wp:effectExtent l="0" t="0" r="0" b="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933575" cy="1885950"/>
                    </a:xfrm>
                    <a:prstGeom prst="rect">
                      <a:avLst/>
                    </a:prstGeom>
                  </pic:spPr>
                </pic:pic>
              </a:graphicData>
            </a:graphic>
          </wp:anchor>
        </w:drawing>
      </w:r>
      <w:r>
        <w:rPr>
          <w:rFonts w:ascii="Times New Roman" w:hAnsi="Times New Roman" w:eastAsia="仿宋_GB2312" w:cs="Times New Roman"/>
          <w:color w:val="000000"/>
          <w:sz w:val="28"/>
          <w:szCs w:val="28"/>
        </w:rPr>
        <w:t>中国法学会培训中心是中央机构编制委员会办公室批准设立的司局级法律培训机构，是唯一有权代表中国法学会开展培训工作的专门单位。本中心培训项目会在中国法学会培训中心网站（http://www.cls.org.cn）上公布。其它单位使用</w:t>
      </w:r>
      <w:r>
        <w:rPr>
          <w:rFonts w:hint="eastAsia" w:ascii="仿宋_GB2312" w:hAnsi="Times New Roman" w:eastAsia="仿宋_GB2312" w:cs="Times New Roman"/>
          <w:color w:val="000000"/>
          <w:sz w:val="28"/>
          <w:szCs w:val="28"/>
        </w:rPr>
        <w:t>带“中国法学会”字</w:t>
      </w:r>
      <w:r>
        <w:rPr>
          <w:rFonts w:ascii="Times New Roman" w:hAnsi="Times New Roman" w:eastAsia="仿宋_GB2312" w:cs="Times New Roman"/>
          <w:color w:val="000000"/>
          <w:sz w:val="28"/>
          <w:szCs w:val="28"/>
        </w:rPr>
        <w:t>样的名义开办培训班及类似的研讨班、论坛等，均属违规及侵权行为。咨询、举报及投诉电话：010－66188780。</w:t>
      </w:r>
    </w:p>
    <w:p>
      <w:pPr>
        <w:adjustRightInd w:val="0"/>
        <w:spacing w:line="48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sz w:val="28"/>
          <w:szCs w:val="28"/>
        </w:rPr>
        <w:t>附件：1．报名表</w:t>
      </w:r>
      <w:bookmarkStart w:id="1" w:name="_GoBack"/>
      <w:bookmarkEnd w:id="1"/>
    </w:p>
    <w:p>
      <w:pPr>
        <w:adjustRightInd w:val="0"/>
        <w:spacing w:line="480" w:lineRule="exact"/>
        <w:ind w:firstLine="1403" w:firstLineChars="499"/>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2．</w:t>
      </w:r>
      <w:r>
        <w:rPr>
          <w:rFonts w:ascii="Times New Roman" w:hAnsi="Times New Roman" w:eastAsia="仿宋_GB2312" w:cs="Times New Roman"/>
          <w:b/>
          <w:sz w:val="28"/>
          <w:szCs w:val="28"/>
        </w:rPr>
        <w:t>日程安排</w:t>
      </w:r>
    </w:p>
    <w:p>
      <w:pPr>
        <w:spacing w:line="240" w:lineRule="auto"/>
        <w:ind w:firstLine="5330" w:firstLineChars="1896"/>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 xml:space="preserve">中国法学会培训中心 </w:t>
      </w:r>
    </w:p>
    <w:p>
      <w:pPr>
        <w:spacing w:line="480" w:lineRule="exact"/>
        <w:ind w:firstLine="5341" w:firstLineChars="1900"/>
        <w:rPr>
          <w:rFonts w:ascii="Times New Roman" w:hAnsi="Times New Roman" w:eastAsia="仿宋_GB2312" w:cs="Times New Roman"/>
          <w:b/>
          <w:color w:val="000000"/>
          <w:sz w:val="28"/>
          <w:szCs w:val="28"/>
        </w:rPr>
      </w:pPr>
      <w:r>
        <w:rPr>
          <w:rFonts w:ascii="Times New Roman" w:hAnsi="Times New Roman" w:eastAsia="仿宋_GB2312" w:cs="Times New Roman"/>
          <w:b/>
          <w:color w:val="000000"/>
          <w:sz w:val="28"/>
          <w:szCs w:val="28"/>
        </w:rPr>
        <w:t>2016年10月18日</w:t>
      </w:r>
    </w:p>
    <w:p>
      <w:pPr>
        <w:adjustRightInd w:val="0"/>
        <w:rPr>
          <w:rFonts w:ascii="Times New Roman" w:hAnsi="Times New Roman" w:eastAsia="仿宋_GB2312" w:cs="Times New Roman"/>
          <w:b/>
          <w:bCs/>
          <w:color w:val="000000"/>
          <w:sz w:val="24"/>
          <w:szCs w:val="24"/>
        </w:rPr>
      </w:pPr>
      <w:r>
        <w:rPr>
          <w:rFonts w:hint="eastAsia" w:ascii="仿宋_GB2312" w:hAnsi="仿宋_GB2312" w:eastAsia="仿宋_GB2312" w:cs="仿宋_GB2312"/>
          <w:sz w:val="24"/>
        </w:rPr>
        <w:br w:type="page"/>
      </w:r>
      <w:bookmarkStart w:id="0" w:name="OLE_LINK1"/>
      <w:r>
        <w:rPr>
          <w:rFonts w:ascii="Times New Roman" w:hAnsi="Times New Roman" w:eastAsia="仿宋_GB2312" w:cs="Times New Roman"/>
          <w:b/>
          <w:sz w:val="28"/>
          <w:szCs w:val="28"/>
        </w:rPr>
        <w:t>附件1：报名表</w:t>
      </w:r>
    </w:p>
    <w:p>
      <w:pPr>
        <w:adjustRightInd w:val="0"/>
        <w:jc w:val="center"/>
        <w:rPr>
          <w:rFonts w:ascii="方正大标宋简体" w:eastAsia="方正大标宋简体"/>
          <w:color w:val="000000"/>
          <w:sz w:val="32"/>
          <w:szCs w:val="32"/>
        </w:rPr>
      </w:pPr>
      <w:r>
        <w:rPr>
          <w:rFonts w:hint="eastAsia" w:ascii="方正大标宋简体" w:eastAsia="方正大标宋简体"/>
          <w:color w:val="000000"/>
          <w:sz w:val="32"/>
          <w:szCs w:val="32"/>
        </w:rPr>
        <w:t>高校法学专业应用型人才培养暨实践教学改革研讨会</w:t>
      </w:r>
    </w:p>
    <w:p>
      <w:pPr>
        <w:adjustRightInd w:val="0"/>
        <w:jc w:val="center"/>
        <w:rPr>
          <w:rFonts w:ascii="仿宋_GB2312" w:hAnsi="仿宋_GB2312" w:eastAsia="仿宋_GB2312" w:cs="仿宋_GB2312"/>
          <w:b/>
          <w:bCs/>
          <w:color w:val="000000"/>
          <w:sz w:val="24"/>
          <w:szCs w:val="24"/>
        </w:rPr>
      </w:pPr>
      <w:r>
        <w:rPr>
          <w:rFonts w:hint="eastAsia" w:ascii="方正大标宋简体" w:eastAsia="方正大标宋简体"/>
          <w:color w:val="000000"/>
          <w:sz w:val="32"/>
          <w:szCs w:val="32"/>
        </w:rPr>
        <w:t>报 名 表</w:t>
      </w:r>
    </w:p>
    <w:p>
      <w:pPr>
        <w:spacing w:line="490" w:lineRule="exact"/>
        <w:rPr>
          <w:rStyle w:val="6"/>
          <w:rFonts w:ascii="仿宋_GB2312" w:hAnsi="仿宋_GB2312" w:eastAsia="仿宋_GB2312" w:cs="仿宋_GB2312"/>
          <w:b w:val="0"/>
          <w:color w:val="000000"/>
          <w:sz w:val="24"/>
          <w:szCs w:val="24"/>
        </w:rPr>
      </w:pPr>
      <w:r>
        <w:rPr>
          <w:rStyle w:val="6"/>
          <w:rFonts w:hint="eastAsia" w:ascii="仿宋_GB2312" w:hAnsi="仿宋_GB2312" w:eastAsia="仿宋_GB2312" w:cs="仿宋_GB2312"/>
          <w:b w:val="0"/>
          <w:color w:val="000000"/>
          <w:sz w:val="24"/>
          <w:szCs w:val="24"/>
        </w:rPr>
        <w:t>经研究，我单位选派下列同志参加：（加盖单位公章）</w:t>
      </w:r>
    </w:p>
    <w:tbl>
      <w:tblPr>
        <w:tblStyle w:val="8"/>
        <w:tblW w:w="8978"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641"/>
        <w:gridCol w:w="709"/>
        <w:gridCol w:w="1559"/>
        <w:gridCol w:w="1701"/>
        <w:gridCol w:w="850"/>
        <w:gridCol w:w="426"/>
        <w:gridCol w:w="425"/>
        <w:gridCol w:w="709"/>
        <w:gridCol w:w="709"/>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7740" w:type="dxa"/>
            <w:gridSpan w:val="10"/>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520"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详细地址</w:t>
            </w:r>
          </w:p>
        </w:tc>
        <w:tc>
          <w:tcPr>
            <w:tcW w:w="4610" w:type="dxa"/>
            <w:gridSpan w:val="4"/>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20"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电话（区号）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pacing w:line="49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63" w:hRule="atLeast"/>
          <w:jc w:val="center"/>
        </w:trPr>
        <w:tc>
          <w:tcPr>
            <w:tcW w:w="1238" w:type="dxa"/>
            <w:vMerge w:val="restart"/>
            <w:tcBorders>
              <w:top w:val="single" w:color="auto" w:sz="4" w:space="0"/>
              <w:left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641" w:type="dxa"/>
            <w:vMerge w:val="restart"/>
            <w:tcBorders>
              <w:top w:val="single" w:color="auto" w:sz="4" w:space="0"/>
              <w:left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709" w:type="dxa"/>
            <w:vMerge w:val="restart"/>
            <w:tcBorders>
              <w:top w:val="single" w:color="auto" w:sz="4" w:space="0"/>
              <w:left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1559" w:type="dxa"/>
            <w:vMerge w:val="restart"/>
            <w:tcBorders>
              <w:top w:val="single" w:color="auto" w:sz="4" w:space="0"/>
              <w:left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701" w:type="dxa"/>
            <w:vMerge w:val="restart"/>
            <w:tcBorders>
              <w:top w:val="single" w:color="auto" w:sz="4" w:space="0"/>
              <w:left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邮箱</w:t>
            </w:r>
          </w:p>
        </w:tc>
        <w:tc>
          <w:tcPr>
            <w:tcW w:w="2410" w:type="dxa"/>
            <w:gridSpan w:val="4"/>
            <w:tcBorders>
              <w:top w:val="single" w:color="auto" w:sz="4" w:space="0"/>
              <w:left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住宿意愿</w:t>
            </w:r>
          </w:p>
        </w:tc>
        <w:tc>
          <w:tcPr>
            <w:tcW w:w="709" w:type="dxa"/>
            <w:vMerge w:val="restart"/>
            <w:tcBorders>
              <w:top w:val="single" w:color="auto" w:sz="4" w:space="0"/>
              <w:left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62" w:hRule="atLeast"/>
          <w:jc w:val="center"/>
        </w:trPr>
        <w:tc>
          <w:tcPr>
            <w:tcW w:w="1238" w:type="dxa"/>
            <w:vMerge w:val="continue"/>
            <w:tcBorders>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p>
        </w:tc>
        <w:tc>
          <w:tcPr>
            <w:tcW w:w="641" w:type="dxa"/>
            <w:vMerge w:val="continue"/>
            <w:tcBorders>
              <w:left w:val="single" w:color="auto" w:sz="4" w:space="0"/>
              <w:bottom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p>
        </w:tc>
        <w:tc>
          <w:tcPr>
            <w:tcW w:w="709" w:type="dxa"/>
            <w:vMerge w:val="continue"/>
            <w:tcBorders>
              <w:left w:val="single" w:color="auto" w:sz="4" w:space="0"/>
              <w:bottom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p>
        </w:tc>
        <w:tc>
          <w:tcPr>
            <w:tcW w:w="1559" w:type="dxa"/>
            <w:vMerge w:val="continue"/>
            <w:tcBorders>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p>
        </w:tc>
        <w:tc>
          <w:tcPr>
            <w:tcW w:w="1701" w:type="dxa"/>
            <w:vMerge w:val="continue"/>
            <w:tcBorders>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p>
        </w:tc>
        <w:tc>
          <w:tcPr>
            <w:tcW w:w="850" w:type="dxa"/>
            <w:tcBorders>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合住</w:t>
            </w:r>
          </w:p>
        </w:tc>
        <w:tc>
          <w:tcPr>
            <w:tcW w:w="851" w:type="dxa"/>
            <w:gridSpan w:val="2"/>
            <w:tcBorders>
              <w:left w:val="single" w:color="auto" w:sz="4" w:space="0"/>
              <w:bottom w:val="single" w:color="auto" w:sz="4" w:space="0"/>
              <w:right w:val="single" w:color="auto" w:sz="4" w:space="0"/>
            </w:tcBorders>
            <w:vAlign w:val="center"/>
          </w:tcPr>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单住</w:t>
            </w:r>
          </w:p>
        </w:tc>
        <w:tc>
          <w:tcPr>
            <w:tcW w:w="709" w:type="dxa"/>
            <w:tcBorders>
              <w:left w:val="single" w:color="auto" w:sz="4" w:space="0"/>
              <w:bottom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不住</w:t>
            </w:r>
          </w:p>
        </w:tc>
        <w:tc>
          <w:tcPr>
            <w:tcW w:w="709" w:type="dxa"/>
            <w:vMerge w:val="continue"/>
            <w:tcBorders>
              <w:left w:val="single" w:color="auto" w:sz="4" w:space="0"/>
              <w:bottom w:val="single" w:color="auto" w:sz="4" w:space="0"/>
              <w:right w:val="single" w:color="auto" w:sz="4" w:space="0"/>
            </w:tcBorders>
            <w:vAlign w:val="center"/>
          </w:tcPr>
          <w:p>
            <w:pPr>
              <w:spacing w:line="490" w:lineRule="exact"/>
              <w:ind w:left="-57" w:right="-57"/>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720" w:hRule="atLeast"/>
          <w:jc w:val="center"/>
        </w:trPr>
        <w:tc>
          <w:tcPr>
            <w:tcW w:w="1238" w:type="dxa"/>
            <w:tcBorders>
              <w:top w:val="single" w:color="auto" w:sz="4" w:space="0"/>
              <w:left w:val="single" w:color="auto" w:sz="4" w:space="0"/>
              <w:bottom w:val="single" w:color="auto" w:sz="4" w:space="0"/>
              <w:right w:val="single" w:color="auto" w:sz="4" w:space="0"/>
            </w:tcBorders>
          </w:tcPr>
          <w:p>
            <w:pPr>
              <w:spacing w:line="490" w:lineRule="exact"/>
              <w:ind w:firstLine="420"/>
              <w:rPr>
                <w:rFonts w:ascii="仿宋_GB2312" w:hAnsi="仿宋_GB2312" w:eastAsia="仿宋_GB2312" w:cs="仿宋_GB2312"/>
                <w:color w:val="FF0000"/>
                <w:sz w:val="24"/>
                <w:szCs w:val="24"/>
              </w:rPr>
            </w:pPr>
          </w:p>
        </w:tc>
        <w:tc>
          <w:tcPr>
            <w:tcW w:w="64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55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1701"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0"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851" w:type="dxa"/>
            <w:gridSpan w:val="2"/>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color w:val="FF0000"/>
                <w:sz w:val="24"/>
                <w:szCs w:val="24"/>
              </w:rPr>
            </w:pPr>
          </w:p>
        </w:tc>
        <w:tc>
          <w:tcPr>
            <w:tcW w:w="709" w:type="dxa"/>
            <w:tcBorders>
              <w:top w:val="single" w:color="auto" w:sz="4" w:space="0"/>
              <w:left w:val="single" w:color="auto" w:sz="4" w:space="0"/>
              <w:bottom w:val="single" w:color="auto" w:sz="4" w:space="0"/>
              <w:right w:val="single" w:color="auto" w:sz="4" w:space="0"/>
            </w:tcBorders>
          </w:tcPr>
          <w:p>
            <w:pPr>
              <w:spacing w:line="49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305" w:hRule="atLeast"/>
          <w:jc w:val="center"/>
        </w:trPr>
        <w:tc>
          <w:tcPr>
            <w:tcW w:w="8978" w:type="dxa"/>
            <w:gridSpan w:val="11"/>
            <w:tcBorders>
              <w:top w:val="single" w:color="auto" w:sz="4" w:space="0"/>
              <w:left w:val="single" w:color="auto" w:sz="4" w:space="0"/>
              <w:right w:val="single" w:color="auto" w:sz="4" w:space="0"/>
            </w:tcBorders>
          </w:tcPr>
          <w:p>
            <w:pPr>
              <w:spacing w:line="49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建议培训的内容：</w:t>
            </w:r>
          </w:p>
          <w:p>
            <w:pPr>
              <w:spacing w:line="490" w:lineRule="exact"/>
              <w:rPr>
                <w:rFonts w:ascii="仿宋_GB2312" w:hAnsi="仿宋_GB2312" w:eastAsia="仿宋_GB2312" w:cs="仿宋_GB2312"/>
                <w:sz w:val="24"/>
                <w:szCs w:val="24"/>
              </w:rPr>
            </w:pPr>
          </w:p>
          <w:p>
            <w:pPr>
              <w:spacing w:line="490" w:lineRule="exact"/>
              <w:rPr>
                <w:rFonts w:ascii="仿宋_GB2312" w:hAnsi="仿宋_GB2312" w:eastAsia="仿宋_GB2312" w:cs="仿宋_GB2312"/>
                <w:sz w:val="24"/>
                <w:szCs w:val="24"/>
              </w:rPr>
            </w:pPr>
          </w:p>
          <w:p>
            <w:pPr>
              <w:spacing w:line="490" w:lineRule="exact"/>
              <w:rPr>
                <w:rFonts w:ascii="仿宋_GB2312" w:hAnsi="仿宋_GB2312" w:eastAsia="仿宋_GB2312" w:cs="仿宋_GB2312"/>
                <w:sz w:val="24"/>
                <w:szCs w:val="24"/>
              </w:rPr>
            </w:pPr>
          </w:p>
          <w:p>
            <w:pPr>
              <w:spacing w:line="490" w:lineRule="exact"/>
              <w:rPr>
                <w:rFonts w:ascii="仿宋_GB2312" w:hAnsi="仿宋_GB2312" w:eastAsia="仿宋_GB2312" w:cs="仿宋_GB2312"/>
                <w:sz w:val="24"/>
                <w:szCs w:val="24"/>
              </w:rPr>
            </w:pPr>
          </w:p>
          <w:p>
            <w:pPr>
              <w:spacing w:line="490" w:lineRule="exact"/>
              <w:rPr>
                <w:rFonts w:ascii="仿宋_GB2312" w:hAnsi="仿宋_GB2312" w:eastAsia="仿宋_GB2312" w:cs="仿宋_GB2312"/>
                <w:sz w:val="24"/>
                <w:szCs w:val="24"/>
              </w:rPr>
            </w:pPr>
          </w:p>
        </w:tc>
      </w:tr>
    </w:tbl>
    <w:p>
      <w:pPr>
        <w:spacing w:line="49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注：此表复制有效。若时间紧迫，可直接电话（传真）报名：</w:t>
      </w:r>
      <w:r>
        <w:rPr>
          <w:rFonts w:ascii="Times New Roman" w:hAnsi="Times New Roman" w:eastAsia="仿宋_GB2312" w:cs="Times New Roman"/>
          <w:sz w:val="24"/>
          <w:szCs w:val="24"/>
        </w:rPr>
        <w:t>010－62997266</w:t>
      </w:r>
      <w:r>
        <w:rPr>
          <w:rFonts w:hint="eastAsia" w:ascii="仿宋_GB2312" w:hAnsi="仿宋_GB2312" w:eastAsia="仿宋_GB2312" w:cs="仿宋_GB2312"/>
          <w:sz w:val="24"/>
          <w:szCs w:val="24"/>
        </w:rPr>
        <w:t>。</w:t>
      </w:r>
      <w:bookmarkEnd w:id="0"/>
    </w:p>
    <w:p>
      <w:pPr>
        <w:widowControl/>
        <w:jc w:val="left"/>
        <w:rPr>
          <w:rFonts w:ascii="仿宋_GB2312" w:hAnsi="仿宋_GB2312" w:eastAsia="仿宋_GB2312" w:cs="仿宋_GB2312"/>
          <w:sz w:val="24"/>
        </w:rPr>
      </w:pPr>
      <w:r>
        <w:rPr>
          <w:rFonts w:hint="eastAsia" w:ascii="仿宋_GB2312" w:hAnsi="仿宋_GB2312" w:eastAsia="仿宋_GB2312" w:cs="仿宋_GB2312"/>
          <w:sz w:val="24"/>
        </w:rPr>
        <w:br w:type="page"/>
      </w:r>
    </w:p>
    <w:p>
      <w:pPr>
        <w:rPr>
          <w:rFonts w:ascii="Times New Roman" w:hAnsi="Times New Roman" w:eastAsia="仿宋_GB2312" w:cs="Times New Roman"/>
          <w:color w:val="000000"/>
          <w:sz w:val="28"/>
          <w:szCs w:val="28"/>
        </w:rPr>
      </w:pPr>
      <w:r>
        <w:rPr>
          <w:rFonts w:ascii="Times New Roman" w:hAnsi="Times New Roman" w:eastAsia="仿宋_GB2312" w:cs="Times New Roman"/>
          <w:b/>
          <w:bCs/>
          <w:sz w:val="28"/>
          <w:szCs w:val="28"/>
        </w:rPr>
        <w:t>附件2：</w:t>
      </w:r>
      <w:r>
        <w:rPr>
          <w:rFonts w:ascii="Times New Roman" w:hAnsi="Times New Roman" w:eastAsia="仿宋_GB2312" w:cs="Times New Roman"/>
          <w:b/>
          <w:sz w:val="28"/>
          <w:szCs w:val="28"/>
        </w:rPr>
        <w:t>日程安排</w:t>
      </w:r>
    </w:p>
    <w:tbl>
      <w:tblPr>
        <w:tblStyle w:val="8"/>
        <w:tblW w:w="9226" w:type="dxa"/>
        <w:jc w:val="center"/>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1" w:hRule="atLeast"/>
          <w:jc w:val="center"/>
        </w:trPr>
        <w:tc>
          <w:tcPr>
            <w:tcW w:w="9226" w:type="dxa"/>
            <w:gridSpan w:val="2"/>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11月25日　星期五：全天报到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9226" w:type="dxa"/>
            <w:gridSpan w:val="2"/>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11月26日　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6" w:hRule="atLeast"/>
          <w:jc w:val="center"/>
        </w:trPr>
        <w:tc>
          <w:tcPr>
            <w:tcW w:w="2003" w:type="dxa"/>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8:30－11:30</w:t>
            </w:r>
          </w:p>
        </w:tc>
        <w:tc>
          <w:tcPr>
            <w:tcW w:w="7223" w:type="dxa"/>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1．卓越法律人才教育培养与法学实践教学改革</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2．人才培养模式改革与课程规划</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主讲专家：</w:t>
            </w:r>
            <w:r>
              <w:rPr>
                <w:rFonts w:ascii="Times New Roman" w:hAnsi="Times New Roman" w:eastAsia="仿宋_GB2312" w:cs="Times New Roman"/>
                <w:b/>
                <w:bCs/>
                <w:sz w:val="28"/>
                <w:szCs w:val="28"/>
              </w:rPr>
              <w:t>林</w:t>
            </w:r>
            <w:r>
              <w:rPr>
                <w:rFonts w:hint="eastAsia" w:ascii="Times New Roman" w:hAnsi="Times New Roman" w:eastAsia="仿宋_GB2312" w:cs="Times New Roman"/>
                <w:b/>
                <w:bCs/>
                <w:sz w:val="28"/>
                <w:szCs w:val="28"/>
              </w:rPr>
              <w:t>　</w:t>
            </w:r>
            <w:r>
              <w:rPr>
                <w:rFonts w:ascii="Times New Roman" w:hAnsi="Times New Roman" w:eastAsia="仿宋_GB2312" w:cs="Times New Roman"/>
                <w:b/>
                <w:bCs/>
                <w:sz w:val="28"/>
                <w:szCs w:val="28"/>
              </w:rPr>
              <w:t>嘉</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中国人民大学法学院党委书记兼副院长</w:t>
            </w:r>
            <w:r>
              <w:rPr>
                <w:rFonts w:hint="eastAsia" w:ascii="Times New Roman" w:hAnsi="Times New Roman" w:eastAsia="仿宋_GB2312" w:cs="Times New Roman"/>
                <w:sz w:val="28"/>
                <w:szCs w:val="28"/>
              </w:rPr>
              <w:t>，教授，博导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2" w:hRule="atLeast"/>
          <w:jc w:val="center"/>
        </w:trPr>
        <w:tc>
          <w:tcPr>
            <w:tcW w:w="2003" w:type="dxa"/>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14:30－17:30</w:t>
            </w:r>
          </w:p>
        </w:tc>
        <w:tc>
          <w:tcPr>
            <w:tcW w:w="7223" w:type="dxa"/>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1．应用型法学创新人才培养与课程建设</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2．法学人才职业能力培养问题与对策</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主讲专家：</w:t>
            </w:r>
            <w:r>
              <w:rPr>
                <w:rFonts w:ascii="Times New Roman" w:hAnsi="Times New Roman" w:eastAsia="仿宋_GB2312" w:cs="Times New Roman"/>
                <w:b/>
                <w:bCs/>
                <w:sz w:val="28"/>
                <w:szCs w:val="28"/>
              </w:rPr>
              <w:t>秦</w:t>
            </w:r>
            <w:r>
              <w:rPr>
                <w:rFonts w:hint="eastAsia" w:ascii="Times New Roman" w:hAnsi="Times New Roman" w:eastAsia="仿宋_GB2312" w:cs="Times New Roman"/>
                <w:b/>
                <w:bCs/>
                <w:sz w:val="28"/>
                <w:szCs w:val="28"/>
              </w:rPr>
              <w:t>　</w:t>
            </w:r>
            <w:r>
              <w:rPr>
                <w:rFonts w:ascii="Times New Roman" w:hAnsi="Times New Roman" w:eastAsia="仿宋_GB2312" w:cs="Times New Roman"/>
                <w:b/>
                <w:bCs/>
                <w:sz w:val="28"/>
                <w:szCs w:val="28"/>
              </w:rPr>
              <w:t>鹏</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重庆大学法学院副院长，</w:t>
            </w:r>
            <w:r>
              <w:rPr>
                <w:rFonts w:hint="eastAsia" w:ascii="Times New Roman" w:hAnsi="Times New Roman" w:eastAsia="仿宋_GB2312" w:cs="Times New Roman"/>
                <w:sz w:val="28"/>
                <w:szCs w:val="28"/>
              </w:rPr>
              <w:t>教授，</w:t>
            </w:r>
            <w:r>
              <w:rPr>
                <w:rFonts w:ascii="Times New Roman" w:hAnsi="Times New Roman" w:eastAsia="仿宋_GB2312" w:cs="Times New Roman"/>
                <w:sz w:val="28"/>
                <w:szCs w:val="28"/>
              </w:rPr>
              <w:t>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jc w:val="center"/>
        </w:trPr>
        <w:tc>
          <w:tcPr>
            <w:tcW w:w="9226" w:type="dxa"/>
            <w:gridSpan w:val="2"/>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11月27日　星期日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092" w:hRule="atLeast"/>
          <w:jc w:val="center"/>
        </w:trPr>
        <w:tc>
          <w:tcPr>
            <w:tcW w:w="2003" w:type="dxa"/>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8:30－11:30</w:t>
            </w:r>
          </w:p>
        </w:tc>
        <w:tc>
          <w:tcPr>
            <w:tcW w:w="7223" w:type="dxa"/>
            <w:vAlign w:val="center"/>
          </w:tcPr>
          <w:p>
            <w:pPr>
              <w:adjustRightInd w:val="0"/>
              <w:spacing w:line="52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1．法律职业能力培养的教学方法创新</w:t>
            </w:r>
          </w:p>
          <w:p>
            <w:pPr>
              <w:adjustRightInd w:val="0"/>
              <w:spacing w:line="52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2．法科学生的核心能力及其培养</w:t>
            </w:r>
          </w:p>
          <w:p>
            <w:pPr>
              <w:adjustRightInd w:val="0"/>
              <w:spacing w:line="520" w:lineRule="exac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 模拟法庭教学与竞赛实践</w:t>
            </w:r>
          </w:p>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主讲专家：</w:t>
            </w:r>
            <w:r>
              <w:rPr>
                <w:rFonts w:ascii="Times New Roman" w:hAnsi="Times New Roman" w:eastAsia="仿宋_GB2312" w:cs="Times New Roman"/>
                <w:b/>
                <w:bCs/>
                <w:sz w:val="28"/>
                <w:szCs w:val="28"/>
              </w:rPr>
              <w:t>王均平</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中南财经政法大学法学实验教学中心（国家级实验教学示范中心）主任</w:t>
            </w:r>
            <w:r>
              <w:rPr>
                <w:rFonts w:hint="eastAsia" w:ascii="Times New Roman" w:hAnsi="Times New Roman" w:eastAsia="仿宋_GB2312" w:cs="Times New Roman"/>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jc w:val="center"/>
        </w:trPr>
        <w:tc>
          <w:tcPr>
            <w:tcW w:w="2003" w:type="dxa"/>
            <w:vAlign w:val="center"/>
          </w:tcPr>
          <w:p>
            <w:pPr>
              <w:spacing w:line="52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14:30－17:30</w:t>
            </w:r>
          </w:p>
        </w:tc>
        <w:tc>
          <w:tcPr>
            <w:tcW w:w="7223" w:type="dxa"/>
            <w:vAlign w:val="center"/>
          </w:tcPr>
          <w:p>
            <w:pPr>
              <w:spacing w:line="5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交流、讨论</w:t>
            </w:r>
          </w:p>
        </w:tc>
      </w:tr>
    </w:tbl>
    <w:p>
      <w:pPr>
        <w:spacing w:line="20" w:lineRule="exact"/>
        <w:jc w:val="left"/>
        <w:rPr>
          <w:rFonts w:ascii="仿宋_GB2312" w:hAnsi="仿宋_GB2312" w:eastAsia="仿宋_GB2312" w:cs="仿宋_GB2312"/>
          <w:sz w:val="28"/>
          <w:szCs w:val="28"/>
        </w:rPr>
      </w:pPr>
    </w:p>
    <w:sectPr>
      <w:footerReference r:id="rId3" w:type="default"/>
      <w:pgSz w:w="11906" w:h="16838"/>
      <w:pgMar w:top="1418" w:right="1797" w:bottom="1418" w:left="179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58245"/>
    </w:sdtPr>
    <w:sdtContent>
      <w:p>
        <w:pPr>
          <w:pStyle w:val="3"/>
          <w:jc w:val="center"/>
        </w:pPr>
        <w:r>
          <w:rPr>
            <w:rFonts w:hint="eastAsia" w:ascii="仿宋_GB2312" w:eastAsia="仿宋_GB2312"/>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lang w:val="zh-CN"/>
          </w:rPr>
          <w:fldChar w:fldCharType="end"/>
        </w:r>
        <w:r>
          <w:rPr>
            <w:rFonts w:hint="eastAsia" w:ascii="Times New Roman" w:hAnsi="Times New Roman" w:cs="Times New Roman"/>
            <w:sz w:val="21"/>
            <w:szCs w:val="21"/>
            <w:lang w:val="zh-CN"/>
          </w:rPr>
          <w:t xml:space="preserve"> </w:t>
        </w:r>
        <w:r>
          <w:rPr>
            <w:rFonts w:hint="eastAsia" w:ascii="仿宋_GB2312" w:eastAsia="仿宋_GB2312"/>
            <w:sz w:val="21"/>
            <w:szCs w:val="21"/>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8F"/>
    <w:rsid w:val="0000220E"/>
    <w:rsid w:val="00005641"/>
    <w:rsid w:val="000166EE"/>
    <w:rsid w:val="00020577"/>
    <w:rsid w:val="00022D7D"/>
    <w:rsid w:val="00037847"/>
    <w:rsid w:val="0005260C"/>
    <w:rsid w:val="00094C4B"/>
    <w:rsid w:val="000B29F0"/>
    <w:rsid w:val="000B6946"/>
    <w:rsid w:val="000C5C79"/>
    <w:rsid w:val="000D3CB1"/>
    <w:rsid w:val="000E0F43"/>
    <w:rsid w:val="000F6826"/>
    <w:rsid w:val="00151E88"/>
    <w:rsid w:val="00175CAA"/>
    <w:rsid w:val="00185C73"/>
    <w:rsid w:val="001965E6"/>
    <w:rsid w:val="001B2C00"/>
    <w:rsid w:val="001D0578"/>
    <w:rsid w:val="001E5C7D"/>
    <w:rsid w:val="001E7676"/>
    <w:rsid w:val="0021745B"/>
    <w:rsid w:val="00250AF7"/>
    <w:rsid w:val="00267A7E"/>
    <w:rsid w:val="00267C5A"/>
    <w:rsid w:val="002747D5"/>
    <w:rsid w:val="002979D7"/>
    <w:rsid w:val="002A45BE"/>
    <w:rsid w:val="002A799B"/>
    <w:rsid w:val="002A7AD6"/>
    <w:rsid w:val="002B0E74"/>
    <w:rsid w:val="002B43ED"/>
    <w:rsid w:val="002B5010"/>
    <w:rsid w:val="002C01C4"/>
    <w:rsid w:val="002D286F"/>
    <w:rsid w:val="002E4C46"/>
    <w:rsid w:val="002F1ED7"/>
    <w:rsid w:val="00331318"/>
    <w:rsid w:val="00356AEB"/>
    <w:rsid w:val="00363432"/>
    <w:rsid w:val="00371707"/>
    <w:rsid w:val="00380201"/>
    <w:rsid w:val="00381268"/>
    <w:rsid w:val="00385ABC"/>
    <w:rsid w:val="00386FF8"/>
    <w:rsid w:val="003900E1"/>
    <w:rsid w:val="003B2B95"/>
    <w:rsid w:val="003F2441"/>
    <w:rsid w:val="003F3DE7"/>
    <w:rsid w:val="003F49A6"/>
    <w:rsid w:val="003F5FE0"/>
    <w:rsid w:val="0042264E"/>
    <w:rsid w:val="00430FF5"/>
    <w:rsid w:val="004409AF"/>
    <w:rsid w:val="004559FF"/>
    <w:rsid w:val="00460632"/>
    <w:rsid w:val="00460E98"/>
    <w:rsid w:val="004641EE"/>
    <w:rsid w:val="00464F4D"/>
    <w:rsid w:val="004707B0"/>
    <w:rsid w:val="00481590"/>
    <w:rsid w:val="004951D7"/>
    <w:rsid w:val="004A2237"/>
    <w:rsid w:val="004B5032"/>
    <w:rsid w:val="004C48FB"/>
    <w:rsid w:val="004C51A5"/>
    <w:rsid w:val="004D54F6"/>
    <w:rsid w:val="004D6327"/>
    <w:rsid w:val="004E1066"/>
    <w:rsid w:val="004F4BE2"/>
    <w:rsid w:val="00501B6F"/>
    <w:rsid w:val="00507D09"/>
    <w:rsid w:val="00513E15"/>
    <w:rsid w:val="0052702B"/>
    <w:rsid w:val="00545E7A"/>
    <w:rsid w:val="00561310"/>
    <w:rsid w:val="00572787"/>
    <w:rsid w:val="00582ADE"/>
    <w:rsid w:val="00585C9C"/>
    <w:rsid w:val="005B2B23"/>
    <w:rsid w:val="005B57B6"/>
    <w:rsid w:val="005C095E"/>
    <w:rsid w:val="005D7FAE"/>
    <w:rsid w:val="005F069B"/>
    <w:rsid w:val="005F6E09"/>
    <w:rsid w:val="00606E23"/>
    <w:rsid w:val="006178E8"/>
    <w:rsid w:val="00622450"/>
    <w:rsid w:val="0063234A"/>
    <w:rsid w:val="00646889"/>
    <w:rsid w:val="006563DB"/>
    <w:rsid w:val="006B7C4D"/>
    <w:rsid w:val="006C11FA"/>
    <w:rsid w:val="006D179D"/>
    <w:rsid w:val="006D36F6"/>
    <w:rsid w:val="006D3A24"/>
    <w:rsid w:val="006F6CBB"/>
    <w:rsid w:val="006F7D57"/>
    <w:rsid w:val="00727366"/>
    <w:rsid w:val="007354D9"/>
    <w:rsid w:val="00741D9A"/>
    <w:rsid w:val="0074278E"/>
    <w:rsid w:val="0074687A"/>
    <w:rsid w:val="00751D56"/>
    <w:rsid w:val="00754439"/>
    <w:rsid w:val="007553D2"/>
    <w:rsid w:val="00755C06"/>
    <w:rsid w:val="00763E74"/>
    <w:rsid w:val="00767F15"/>
    <w:rsid w:val="00772F1A"/>
    <w:rsid w:val="00773078"/>
    <w:rsid w:val="007A474F"/>
    <w:rsid w:val="007B6C4E"/>
    <w:rsid w:val="007B7245"/>
    <w:rsid w:val="007C3317"/>
    <w:rsid w:val="007D3AF4"/>
    <w:rsid w:val="007E68A3"/>
    <w:rsid w:val="007F2568"/>
    <w:rsid w:val="00804246"/>
    <w:rsid w:val="00811FFE"/>
    <w:rsid w:val="00820642"/>
    <w:rsid w:val="00824336"/>
    <w:rsid w:val="008300EF"/>
    <w:rsid w:val="008329D8"/>
    <w:rsid w:val="00845880"/>
    <w:rsid w:val="008716E3"/>
    <w:rsid w:val="008820D2"/>
    <w:rsid w:val="00890EB3"/>
    <w:rsid w:val="008A0159"/>
    <w:rsid w:val="008A288F"/>
    <w:rsid w:val="008B1474"/>
    <w:rsid w:val="008B45DF"/>
    <w:rsid w:val="008C109A"/>
    <w:rsid w:val="008D180F"/>
    <w:rsid w:val="008E31B2"/>
    <w:rsid w:val="008F0C26"/>
    <w:rsid w:val="009256CD"/>
    <w:rsid w:val="009261DC"/>
    <w:rsid w:val="00951B5E"/>
    <w:rsid w:val="00952EEE"/>
    <w:rsid w:val="00953FFD"/>
    <w:rsid w:val="00955146"/>
    <w:rsid w:val="009920DE"/>
    <w:rsid w:val="00996BC2"/>
    <w:rsid w:val="00996C09"/>
    <w:rsid w:val="00997237"/>
    <w:rsid w:val="009A0174"/>
    <w:rsid w:val="009C30E2"/>
    <w:rsid w:val="009C36B7"/>
    <w:rsid w:val="009C730A"/>
    <w:rsid w:val="009F3ABD"/>
    <w:rsid w:val="00A1098E"/>
    <w:rsid w:val="00A116ED"/>
    <w:rsid w:val="00A127D7"/>
    <w:rsid w:val="00A205C7"/>
    <w:rsid w:val="00A35401"/>
    <w:rsid w:val="00A36A11"/>
    <w:rsid w:val="00A72C28"/>
    <w:rsid w:val="00A815F3"/>
    <w:rsid w:val="00A83B97"/>
    <w:rsid w:val="00A87326"/>
    <w:rsid w:val="00A94C9D"/>
    <w:rsid w:val="00AA31AC"/>
    <w:rsid w:val="00AD2914"/>
    <w:rsid w:val="00AD7DDE"/>
    <w:rsid w:val="00AF09E3"/>
    <w:rsid w:val="00B156D1"/>
    <w:rsid w:val="00B22DCC"/>
    <w:rsid w:val="00B25A10"/>
    <w:rsid w:val="00B32EA2"/>
    <w:rsid w:val="00B421F5"/>
    <w:rsid w:val="00B47889"/>
    <w:rsid w:val="00B501B8"/>
    <w:rsid w:val="00B644B2"/>
    <w:rsid w:val="00B64C84"/>
    <w:rsid w:val="00B740B3"/>
    <w:rsid w:val="00B767D5"/>
    <w:rsid w:val="00B849A5"/>
    <w:rsid w:val="00BB1549"/>
    <w:rsid w:val="00BC08B0"/>
    <w:rsid w:val="00BC2BF7"/>
    <w:rsid w:val="00BC3FCC"/>
    <w:rsid w:val="00BC4603"/>
    <w:rsid w:val="00BD5F97"/>
    <w:rsid w:val="00BF2B57"/>
    <w:rsid w:val="00C01013"/>
    <w:rsid w:val="00C32CB8"/>
    <w:rsid w:val="00C517A6"/>
    <w:rsid w:val="00C518F5"/>
    <w:rsid w:val="00C67DE8"/>
    <w:rsid w:val="00C76EAE"/>
    <w:rsid w:val="00C837DF"/>
    <w:rsid w:val="00CA3BCF"/>
    <w:rsid w:val="00CA656A"/>
    <w:rsid w:val="00CB6B82"/>
    <w:rsid w:val="00CC446B"/>
    <w:rsid w:val="00CC5F51"/>
    <w:rsid w:val="00CD0890"/>
    <w:rsid w:val="00CD12A8"/>
    <w:rsid w:val="00CF38A7"/>
    <w:rsid w:val="00CF3A54"/>
    <w:rsid w:val="00D22D38"/>
    <w:rsid w:val="00D4025D"/>
    <w:rsid w:val="00D4375D"/>
    <w:rsid w:val="00D6592B"/>
    <w:rsid w:val="00D70E13"/>
    <w:rsid w:val="00D72DB5"/>
    <w:rsid w:val="00D774A2"/>
    <w:rsid w:val="00DA12A9"/>
    <w:rsid w:val="00DB3606"/>
    <w:rsid w:val="00DC3ACE"/>
    <w:rsid w:val="00DC3BBB"/>
    <w:rsid w:val="00E003A7"/>
    <w:rsid w:val="00E21EC1"/>
    <w:rsid w:val="00E41094"/>
    <w:rsid w:val="00E4295E"/>
    <w:rsid w:val="00E6387F"/>
    <w:rsid w:val="00E64A81"/>
    <w:rsid w:val="00E737B2"/>
    <w:rsid w:val="00E81C11"/>
    <w:rsid w:val="00E81F55"/>
    <w:rsid w:val="00E86421"/>
    <w:rsid w:val="00E94A79"/>
    <w:rsid w:val="00E96D8F"/>
    <w:rsid w:val="00EB0D8F"/>
    <w:rsid w:val="00EF6697"/>
    <w:rsid w:val="00F014C7"/>
    <w:rsid w:val="00F05513"/>
    <w:rsid w:val="00F066DD"/>
    <w:rsid w:val="00F1569A"/>
    <w:rsid w:val="00F21E85"/>
    <w:rsid w:val="00F25DBE"/>
    <w:rsid w:val="00F36A82"/>
    <w:rsid w:val="00F373BB"/>
    <w:rsid w:val="00F63578"/>
    <w:rsid w:val="00F63749"/>
    <w:rsid w:val="00F706A6"/>
    <w:rsid w:val="00F74B06"/>
    <w:rsid w:val="00F82C37"/>
    <w:rsid w:val="00F85BB7"/>
    <w:rsid w:val="00F864DC"/>
    <w:rsid w:val="00FA2E94"/>
    <w:rsid w:val="00FB0EAE"/>
    <w:rsid w:val="00FD338D"/>
    <w:rsid w:val="00FE64AE"/>
    <w:rsid w:val="00FF3C0F"/>
    <w:rsid w:val="00FF70A9"/>
    <w:rsid w:val="20E475C5"/>
    <w:rsid w:val="253630F9"/>
    <w:rsid w:val="2C645814"/>
    <w:rsid w:val="42541414"/>
    <w:rsid w:val="4AD8260D"/>
    <w:rsid w:val="4AE73D2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Hyperlink"/>
    <w:qFormat/>
    <w:uiPriority w:val="0"/>
    <w:rPr>
      <w:color w:val="393939"/>
      <w:u w:val="none"/>
    </w:r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180EA-1BA3-4F71-AD47-8337A2E20BA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247</Words>
  <Characters>1408</Characters>
  <Lines>11</Lines>
  <Paragraphs>3</Paragraphs>
  <TotalTime>0</TotalTime>
  <ScaleCrop>false</ScaleCrop>
  <LinksUpToDate>false</LinksUpToDate>
  <CharactersWithSpaces>1652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2016-10-17T05:44:00Z</dcterms:created>
  <dc:creator>LHC</dc:creator>
  <cp:lastModifiedBy>Administrator</cp:lastModifiedBy>
  <cp:lastPrinted>2016-10-18T01:53:00Z</cp:lastPrinted>
  <dcterms:modified xsi:type="dcterms:W3CDTF">2016-10-18T02:39:30Z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